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499"/>
        <w:gridCol w:w="2130"/>
        <w:gridCol w:w="2341"/>
        <w:gridCol w:w="2304"/>
        <w:gridCol w:w="2373"/>
        <w:gridCol w:w="2301"/>
      </w:tblGrid>
      <w:tr w:rsidR="00597B65" w:rsidTr="00C84A53">
        <w:tc>
          <w:tcPr>
            <w:tcW w:w="15389" w:type="dxa"/>
            <w:gridSpan w:val="6"/>
          </w:tcPr>
          <w:p w:rsidR="00597B65" w:rsidRPr="00BA300C" w:rsidRDefault="00597B65" w:rsidP="00C84A53">
            <w:pPr>
              <w:rPr>
                <w:rFonts w:asciiTheme="majorHAnsi" w:hAnsiTheme="majorHAnsi" w:cs="Calibri"/>
                <w:b/>
                <w:bCs/>
                <w:sz w:val="28"/>
                <w:szCs w:val="28"/>
              </w:rPr>
            </w:pPr>
            <w:bookmarkStart w:id="0" w:name="_GoBack"/>
            <w:bookmarkEnd w:id="0"/>
            <w:r w:rsidRPr="0060248D">
              <w:rPr>
                <w:rFonts w:asciiTheme="majorHAnsi" w:hAnsiTheme="majorHAnsi" w:cs="Calibri"/>
                <w:b/>
                <w:bCs/>
                <w:noProof/>
              </w:rPr>
              <w:drawing>
                <wp:anchor distT="0" distB="0" distL="114300" distR="114300" simplePos="0" relativeHeight="251659264" behindDoc="1" locked="0" layoutInCell="1" allowOverlap="1">
                  <wp:simplePos x="0" y="0"/>
                  <wp:positionH relativeFrom="column">
                    <wp:posOffset>4546600</wp:posOffset>
                  </wp:positionH>
                  <wp:positionV relativeFrom="paragraph">
                    <wp:posOffset>0</wp:posOffset>
                  </wp:positionV>
                  <wp:extent cx="614045" cy="720090"/>
                  <wp:effectExtent l="19050" t="0" r="0" b="0"/>
                  <wp:wrapTight wrapText="bothSides">
                    <wp:wrapPolygon edited="0">
                      <wp:start x="-670" y="0"/>
                      <wp:lineTo x="-670" y="21143"/>
                      <wp:lineTo x="21444" y="21143"/>
                      <wp:lineTo x="21444" y="0"/>
                      <wp:lineTo x="-670" y="0"/>
                    </wp:wrapPolygon>
                  </wp:wrapTight>
                  <wp:docPr id="1" name="Picture 1" descr="C:\Users\Kerry\Desktop\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y\Desktop\badge.png"/>
                          <pic:cNvPicPr>
                            <a:picLocks noChangeAspect="1" noChangeArrowheads="1"/>
                          </pic:cNvPicPr>
                        </pic:nvPicPr>
                        <pic:blipFill>
                          <a:blip r:embed="rId4" cstate="print"/>
                          <a:srcRect/>
                          <a:stretch>
                            <a:fillRect/>
                          </a:stretch>
                        </pic:blipFill>
                        <pic:spPr bwMode="auto">
                          <a:xfrm>
                            <a:off x="0" y="0"/>
                            <a:ext cx="614045" cy="720090"/>
                          </a:xfrm>
                          <a:prstGeom prst="rect">
                            <a:avLst/>
                          </a:prstGeom>
                          <a:noFill/>
                          <a:ln w="9525">
                            <a:noFill/>
                            <a:miter lim="800000"/>
                            <a:headEnd/>
                            <a:tailEnd/>
                          </a:ln>
                        </pic:spPr>
                      </pic:pic>
                    </a:graphicData>
                  </a:graphic>
                </wp:anchor>
              </w:drawing>
            </w:r>
            <w:r w:rsidRPr="00BA300C">
              <w:rPr>
                <w:rFonts w:asciiTheme="majorHAnsi" w:hAnsiTheme="majorHAnsi" w:cs="Calibri"/>
                <w:b/>
                <w:bCs/>
                <w:sz w:val="28"/>
                <w:szCs w:val="28"/>
              </w:rPr>
              <w:t xml:space="preserve">   PE Action Plan</w:t>
            </w:r>
            <w:r>
              <w:rPr>
                <w:rFonts w:asciiTheme="majorHAnsi" w:hAnsiTheme="majorHAnsi" w:cs="Calibri"/>
                <w:b/>
                <w:bCs/>
                <w:sz w:val="28"/>
                <w:szCs w:val="28"/>
              </w:rPr>
              <w:t xml:space="preserve"> 2020-2021</w:t>
            </w:r>
            <w:r w:rsidRPr="00BA300C">
              <w:rPr>
                <w:rFonts w:asciiTheme="majorHAnsi" w:hAnsiTheme="majorHAnsi" w:cs="Calibri"/>
                <w:b/>
                <w:bCs/>
                <w:sz w:val="28"/>
                <w:szCs w:val="28"/>
              </w:rPr>
              <w:t xml:space="preserve">                                                                                                                             </w:t>
            </w:r>
            <w:r w:rsidRPr="00BA300C">
              <w:rPr>
                <w:rFonts w:asciiTheme="majorHAnsi" w:hAnsiTheme="majorHAnsi" w:cs="Calibri"/>
                <w:b/>
                <w:bCs/>
                <w:color w:val="FFFFFF"/>
                <w:sz w:val="28"/>
                <w:szCs w:val="28"/>
              </w:rPr>
              <w:t xml:space="preserve">. </w:t>
            </w:r>
            <w:r>
              <w:rPr>
                <w:rFonts w:asciiTheme="majorHAnsi" w:hAnsiTheme="majorHAnsi" w:cs="Calibri"/>
                <w:b/>
                <w:bCs/>
                <w:sz w:val="28"/>
                <w:szCs w:val="28"/>
              </w:rPr>
              <w:t xml:space="preserve">                                           Subject </w:t>
            </w:r>
            <w:r w:rsidRPr="00BA300C">
              <w:rPr>
                <w:rFonts w:asciiTheme="majorHAnsi" w:hAnsiTheme="majorHAnsi" w:cs="Calibri"/>
                <w:b/>
                <w:bCs/>
                <w:sz w:val="28"/>
                <w:szCs w:val="28"/>
              </w:rPr>
              <w:t>Lead: Nic</w:t>
            </w:r>
            <w:r>
              <w:rPr>
                <w:rFonts w:asciiTheme="majorHAnsi" w:hAnsiTheme="majorHAnsi" w:cs="Calibri"/>
                <w:b/>
                <w:bCs/>
                <w:sz w:val="28"/>
                <w:szCs w:val="28"/>
              </w:rPr>
              <w:t>k</w:t>
            </w:r>
            <w:r w:rsidRPr="00BA300C">
              <w:rPr>
                <w:rFonts w:asciiTheme="majorHAnsi" w:hAnsiTheme="majorHAnsi" w:cs="Calibri"/>
                <w:b/>
                <w:bCs/>
                <w:sz w:val="28"/>
                <w:szCs w:val="28"/>
              </w:rPr>
              <w:t xml:space="preserve"> Stovell</w:t>
            </w:r>
          </w:p>
          <w:p w:rsidR="00597B65" w:rsidRDefault="00597B65" w:rsidP="00C84A53">
            <w:pPr>
              <w:tabs>
                <w:tab w:val="left" w:pos="1680"/>
              </w:tabs>
              <w:rPr>
                <w:rFonts w:asciiTheme="majorHAnsi" w:hAnsiTheme="majorHAnsi" w:cs="Calibri"/>
              </w:rPr>
            </w:pPr>
          </w:p>
          <w:p w:rsidR="00597B65" w:rsidRDefault="00597B65" w:rsidP="00C84A53">
            <w:pPr>
              <w:tabs>
                <w:tab w:val="left" w:pos="1680"/>
              </w:tabs>
              <w:rPr>
                <w:rFonts w:asciiTheme="majorHAnsi" w:hAnsiTheme="majorHAnsi" w:cs="Calibri"/>
              </w:rPr>
            </w:pPr>
          </w:p>
          <w:p w:rsidR="00597B65" w:rsidRDefault="00597B65" w:rsidP="00C84A53">
            <w:pPr>
              <w:tabs>
                <w:tab w:val="left" w:pos="1680"/>
              </w:tabs>
              <w:rPr>
                <w:rFonts w:asciiTheme="majorHAnsi" w:hAnsiTheme="majorHAnsi" w:cs="Calibri"/>
              </w:rPr>
            </w:pPr>
          </w:p>
          <w:p w:rsidR="00597B65" w:rsidRDefault="00597B65" w:rsidP="00C84A53">
            <w:pPr>
              <w:tabs>
                <w:tab w:val="left" w:pos="1680"/>
              </w:tabs>
              <w:rPr>
                <w:rFonts w:asciiTheme="majorHAnsi" w:hAnsiTheme="majorHAnsi" w:cs="Calibri"/>
              </w:rPr>
            </w:pPr>
          </w:p>
          <w:p w:rsidR="00597B65" w:rsidRDefault="00597B65" w:rsidP="00C84A53">
            <w:pPr>
              <w:tabs>
                <w:tab w:val="left" w:pos="1680"/>
              </w:tabs>
              <w:rPr>
                <w:rFonts w:asciiTheme="majorHAnsi" w:hAnsiTheme="majorHAnsi" w:cs="Calibri"/>
              </w:rPr>
            </w:pPr>
            <w:r w:rsidRPr="006F3CBF">
              <w:rPr>
                <w:rFonts w:asciiTheme="majorHAnsi" w:hAnsiTheme="majorHAnsi" w:cs="Calibri"/>
                <w:shd w:val="clear" w:color="auto" w:fill="D9D9D9" w:themeFill="background1" w:themeFillShade="D9"/>
              </w:rPr>
              <w:t>Remaining budget carried over from 2019/2020 £5000</w:t>
            </w:r>
            <w:r>
              <w:rPr>
                <w:rFonts w:asciiTheme="majorHAnsi" w:hAnsiTheme="majorHAnsi" w:cs="Calibri"/>
              </w:rPr>
              <w:t xml:space="preserve"> </w:t>
            </w:r>
          </w:p>
          <w:p w:rsidR="00597B65" w:rsidRDefault="00597B65" w:rsidP="00C84A53">
            <w:pPr>
              <w:tabs>
                <w:tab w:val="left" w:pos="1680"/>
              </w:tabs>
              <w:rPr>
                <w:rFonts w:asciiTheme="majorHAnsi" w:hAnsiTheme="majorHAnsi" w:cs="Calibri"/>
              </w:rPr>
            </w:pPr>
          </w:p>
          <w:p w:rsidR="00597B65" w:rsidRDefault="00597B65" w:rsidP="00C84A53">
            <w:pPr>
              <w:tabs>
                <w:tab w:val="left" w:pos="1680"/>
              </w:tabs>
              <w:rPr>
                <w:rFonts w:asciiTheme="majorHAnsi" w:hAnsiTheme="majorHAnsi" w:cs="Calibri"/>
              </w:rPr>
            </w:pPr>
            <w:r w:rsidRPr="00737FC7">
              <w:rPr>
                <w:rFonts w:asciiTheme="majorHAnsi" w:hAnsiTheme="majorHAnsi" w:cs="Calibri"/>
                <w:shd w:val="clear" w:color="auto" w:fill="00CC00"/>
              </w:rPr>
              <w:t>Completed from the budget this year</w:t>
            </w:r>
            <w:r>
              <w:rPr>
                <w:rFonts w:asciiTheme="majorHAnsi" w:hAnsiTheme="majorHAnsi" w:cs="Calibri"/>
                <w:shd w:val="clear" w:color="auto" w:fill="00CC00"/>
              </w:rPr>
              <w:t xml:space="preserve"> 20/21</w:t>
            </w:r>
            <w:r w:rsidRPr="00737FC7">
              <w:rPr>
                <w:rFonts w:asciiTheme="majorHAnsi" w:hAnsiTheme="majorHAnsi" w:cs="Calibri"/>
                <w:shd w:val="clear" w:color="auto" w:fill="00CC00"/>
              </w:rPr>
              <w:t>:</w:t>
            </w:r>
            <w:r>
              <w:rPr>
                <w:rFonts w:asciiTheme="majorHAnsi" w:hAnsiTheme="majorHAnsi" w:cs="Calibri"/>
              </w:rPr>
              <w:t xml:space="preserve"> </w:t>
            </w:r>
          </w:p>
        </w:tc>
      </w:tr>
      <w:tr w:rsidR="00597B65" w:rsidTr="00C84A53">
        <w:tc>
          <w:tcPr>
            <w:tcW w:w="15389" w:type="dxa"/>
            <w:gridSpan w:val="6"/>
            <w:shd w:val="clear" w:color="auto" w:fill="F2F2F2" w:themeFill="background1" w:themeFillShade="F2"/>
          </w:tcPr>
          <w:p w:rsidR="00597B65" w:rsidRDefault="00597B65" w:rsidP="00C84A53">
            <w:pPr>
              <w:tabs>
                <w:tab w:val="left" w:pos="1680"/>
              </w:tabs>
              <w:rPr>
                <w:rFonts w:asciiTheme="majorHAnsi" w:hAnsiTheme="majorHAnsi" w:cs="Calibri"/>
              </w:rPr>
            </w:pPr>
          </w:p>
        </w:tc>
      </w:tr>
      <w:tr w:rsidR="00597B65" w:rsidTr="00C84A53">
        <w:tc>
          <w:tcPr>
            <w:tcW w:w="2830" w:type="dxa"/>
          </w:tcPr>
          <w:p w:rsidR="00597B65" w:rsidRDefault="00597B65" w:rsidP="00C84A53">
            <w:pPr>
              <w:tabs>
                <w:tab w:val="left" w:pos="1680"/>
              </w:tabs>
              <w:jc w:val="center"/>
              <w:rPr>
                <w:rFonts w:asciiTheme="majorHAnsi" w:hAnsiTheme="majorHAnsi" w:cs="Calibri"/>
              </w:rPr>
            </w:pPr>
            <w:r w:rsidRPr="0060248D">
              <w:rPr>
                <w:rFonts w:asciiTheme="majorHAnsi" w:hAnsiTheme="majorHAnsi" w:cs="Calibri"/>
                <w:b/>
                <w:bCs/>
              </w:rPr>
              <w:t>Action to be undertaken</w:t>
            </w:r>
          </w:p>
        </w:tc>
        <w:tc>
          <w:tcPr>
            <w:tcW w:w="2299" w:type="dxa"/>
          </w:tcPr>
          <w:p w:rsidR="00597B65" w:rsidRDefault="00597B65" w:rsidP="00C84A53">
            <w:pPr>
              <w:tabs>
                <w:tab w:val="left" w:pos="1680"/>
              </w:tabs>
              <w:jc w:val="center"/>
              <w:rPr>
                <w:rFonts w:asciiTheme="majorHAnsi" w:hAnsiTheme="majorHAnsi" w:cs="Calibri"/>
              </w:rPr>
            </w:pPr>
            <w:r w:rsidRPr="0060248D">
              <w:rPr>
                <w:rFonts w:asciiTheme="majorHAnsi" w:hAnsiTheme="majorHAnsi" w:cs="Calibri"/>
                <w:b/>
                <w:bCs/>
              </w:rPr>
              <w:t>Success Criteria</w:t>
            </w:r>
          </w:p>
        </w:tc>
        <w:tc>
          <w:tcPr>
            <w:tcW w:w="2565" w:type="dxa"/>
          </w:tcPr>
          <w:p w:rsidR="00597B65" w:rsidRPr="0060248D" w:rsidRDefault="00597B65" w:rsidP="00C84A53">
            <w:pPr>
              <w:jc w:val="center"/>
              <w:rPr>
                <w:rFonts w:asciiTheme="majorHAnsi" w:hAnsiTheme="majorHAnsi" w:cs="Calibri"/>
                <w:b/>
                <w:bCs/>
              </w:rPr>
            </w:pPr>
            <w:r w:rsidRPr="0060248D">
              <w:rPr>
                <w:rFonts w:asciiTheme="majorHAnsi" w:hAnsiTheme="majorHAnsi" w:cs="Calibri"/>
                <w:b/>
                <w:bCs/>
              </w:rPr>
              <w:t>Start date to completion date</w:t>
            </w:r>
          </w:p>
          <w:p w:rsidR="00597B65" w:rsidRDefault="00597B65" w:rsidP="00C84A53">
            <w:pPr>
              <w:tabs>
                <w:tab w:val="left" w:pos="1680"/>
              </w:tabs>
              <w:jc w:val="center"/>
              <w:rPr>
                <w:rFonts w:asciiTheme="majorHAnsi" w:hAnsiTheme="majorHAnsi" w:cs="Calibri"/>
              </w:rPr>
            </w:pPr>
          </w:p>
        </w:tc>
        <w:tc>
          <w:tcPr>
            <w:tcW w:w="2565" w:type="dxa"/>
          </w:tcPr>
          <w:p w:rsidR="00597B65" w:rsidRDefault="00597B65" w:rsidP="00C84A53">
            <w:pPr>
              <w:tabs>
                <w:tab w:val="left" w:pos="1680"/>
              </w:tabs>
              <w:jc w:val="center"/>
              <w:rPr>
                <w:rFonts w:asciiTheme="majorHAnsi" w:hAnsiTheme="majorHAnsi" w:cs="Calibri"/>
              </w:rPr>
            </w:pPr>
            <w:r w:rsidRPr="0060248D">
              <w:rPr>
                <w:rFonts w:asciiTheme="majorHAnsi" w:hAnsiTheme="majorHAnsi" w:cs="Calibri"/>
                <w:b/>
                <w:bCs/>
              </w:rPr>
              <w:t>Monitoring &amp; Evaluation</w:t>
            </w:r>
          </w:p>
        </w:tc>
        <w:tc>
          <w:tcPr>
            <w:tcW w:w="2565" w:type="dxa"/>
          </w:tcPr>
          <w:p w:rsidR="00597B65" w:rsidRDefault="00597B65" w:rsidP="00C84A53">
            <w:pPr>
              <w:tabs>
                <w:tab w:val="left" w:pos="1680"/>
              </w:tabs>
              <w:jc w:val="center"/>
              <w:rPr>
                <w:rFonts w:asciiTheme="majorHAnsi" w:hAnsiTheme="majorHAnsi" w:cs="Calibri"/>
              </w:rPr>
            </w:pPr>
            <w:r w:rsidRPr="0060248D">
              <w:rPr>
                <w:rFonts w:asciiTheme="majorHAnsi" w:hAnsiTheme="majorHAnsi" w:cs="Calibri"/>
                <w:b/>
                <w:bCs/>
              </w:rPr>
              <w:t>Responsibility</w:t>
            </w:r>
          </w:p>
        </w:tc>
        <w:tc>
          <w:tcPr>
            <w:tcW w:w="2565" w:type="dxa"/>
          </w:tcPr>
          <w:p w:rsidR="00597B65" w:rsidRDefault="00597B65" w:rsidP="00C84A53">
            <w:pPr>
              <w:jc w:val="center"/>
              <w:rPr>
                <w:rFonts w:ascii="Calibri" w:hAnsi="Calibri" w:cs="Calibri"/>
                <w:b/>
                <w:bCs/>
              </w:rPr>
            </w:pPr>
            <w:r>
              <w:rPr>
                <w:rFonts w:ascii="Calibri" w:hAnsi="Calibri" w:cs="Calibri"/>
                <w:b/>
                <w:bCs/>
              </w:rPr>
              <w:t>Resource needed</w:t>
            </w:r>
          </w:p>
          <w:p w:rsidR="00597B65" w:rsidRDefault="00597B65" w:rsidP="00C84A53">
            <w:pPr>
              <w:tabs>
                <w:tab w:val="left" w:pos="1680"/>
              </w:tabs>
              <w:jc w:val="center"/>
              <w:rPr>
                <w:rFonts w:asciiTheme="majorHAnsi" w:hAnsiTheme="majorHAnsi" w:cs="Calibri"/>
              </w:rPr>
            </w:pPr>
            <w:r w:rsidRPr="00D54F0C">
              <w:rPr>
                <w:rFonts w:ascii="Calibri" w:hAnsi="Calibri" w:cs="Calibri"/>
                <w:b/>
                <w:bCs/>
              </w:rPr>
              <w:t>(inc costs)</w:t>
            </w:r>
          </w:p>
        </w:tc>
      </w:tr>
      <w:tr w:rsidR="00597B65" w:rsidTr="00C84A53">
        <w:tc>
          <w:tcPr>
            <w:tcW w:w="2830" w:type="dxa"/>
            <w:shd w:val="clear" w:color="auto" w:fill="D9D9D9" w:themeFill="background1" w:themeFillShade="D9"/>
          </w:tcPr>
          <w:p w:rsidR="00597B65" w:rsidRPr="006F3CBF" w:rsidRDefault="00597B65" w:rsidP="00C84A53">
            <w:pPr>
              <w:tabs>
                <w:tab w:val="left" w:pos="1680"/>
              </w:tabs>
            </w:pPr>
            <w:r w:rsidRPr="006F3CBF">
              <w:t xml:space="preserve">Playground marking </w:t>
            </w:r>
          </w:p>
        </w:tc>
        <w:tc>
          <w:tcPr>
            <w:tcW w:w="2299" w:type="dxa"/>
            <w:shd w:val="clear" w:color="auto" w:fill="D9D9D9" w:themeFill="background1" w:themeFillShade="D9"/>
          </w:tcPr>
          <w:p w:rsidR="00597B65" w:rsidRPr="006F3CBF" w:rsidRDefault="00597B65" w:rsidP="00C84A53">
            <w:pPr>
              <w:tabs>
                <w:tab w:val="left" w:pos="1680"/>
              </w:tabs>
            </w:pPr>
            <w:r w:rsidRPr="006F3CBF">
              <w:t>Attached word doc for ideas for both KS1 and KS2 with cross curricular.</w:t>
            </w:r>
          </w:p>
        </w:tc>
        <w:tc>
          <w:tcPr>
            <w:tcW w:w="2565" w:type="dxa"/>
            <w:shd w:val="clear" w:color="auto" w:fill="D9D9D9" w:themeFill="background1" w:themeFillShade="D9"/>
          </w:tcPr>
          <w:p w:rsidR="00597B65" w:rsidRPr="006F3CBF" w:rsidRDefault="00597B65" w:rsidP="00C84A53">
            <w:pPr>
              <w:tabs>
                <w:tab w:val="left" w:pos="1680"/>
              </w:tabs>
            </w:pPr>
            <w:r w:rsidRPr="006F3CBF">
              <w:t xml:space="preserve">Sales manager from </w:t>
            </w:r>
            <w:proofErr w:type="spellStart"/>
            <w:r w:rsidRPr="006F3CBF">
              <w:t>ThermoPlastic</w:t>
            </w:r>
            <w:proofErr w:type="spellEnd"/>
            <w:r w:rsidRPr="006F3CBF">
              <w:t xml:space="preserve">. Waiting to hear back from Fun and Active playground for quotes. </w:t>
            </w:r>
          </w:p>
        </w:tc>
        <w:tc>
          <w:tcPr>
            <w:tcW w:w="2565" w:type="dxa"/>
            <w:shd w:val="clear" w:color="auto" w:fill="D9D9D9" w:themeFill="background1" w:themeFillShade="D9"/>
          </w:tcPr>
          <w:p w:rsidR="00597B65" w:rsidRPr="006F3CBF" w:rsidRDefault="00597B65" w:rsidP="00C84A53">
            <w:pPr>
              <w:tabs>
                <w:tab w:val="left" w:pos="1680"/>
              </w:tabs>
            </w:pPr>
            <w:r w:rsidRPr="006F3CBF">
              <w:t xml:space="preserve">KH / NS – to check progress. NS to speak to lunch time supervisors to make sure the marking are suitable. </w:t>
            </w:r>
          </w:p>
        </w:tc>
        <w:tc>
          <w:tcPr>
            <w:tcW w:w="2565" w:type="dxa"/>
            <w:shd w:val="clear" w:color="auto" w:fill="D9D9D9" w:themeFill="background1" w:themeFillShade="D9"/>
          </w:tcPr>
          <w:p w:rsidR="00597B65" w:rsidRPr="006F3CBF" w:rsidRDefault="00597B65" w:rsidP="00C84A53">
            <w:pPr>
              <w:tabs>
                <w:tab w:val="left" w:pos="1680"/>
              </w:tabs>
            </w:pPr>
            <w:r w:rsidRPr="006F3CBF">
              <w:t>NS</w:t>
            </w:r>
          </w:p>
        </w:tc>
        <w:tc>
          <w:tcPr>
            <w:tcW w:w="2565" w:type="dxa"/>
            <w:shd w:val="clear" w:color="auto" w:fill="D9D9D9" w:themeFill="background1" w:themeFillShade="D9"/>
          </w:tcPr>
          <w:p w:rsidR="00597B65" w:rsidRPr="006F3CBF" w:rsidRDefault="00597B65" w:rsidP="00C84A53">
            <w:pPr>
              <w:tabs>
                <w:tab w:val="left" w:pos="1680"/>
              </w:tabs>
            </w:pPr>
            <w:r>
              <w:t>App</w:t>
            </w:r>
            <w:r w:rsidRPr="006F3CBF">
              <w:t>rox. £</w:t>
            </w:r>
            <w:r>
              <w:t xml:space="preserve">5700 </w:t>
            </w:r>
          </w:p>
        </w:tc>
      </w:tr>
      <w:tr w:rsidR="00597B65" w:rsidTr="00C84A53">
        <w:tc>
          <w:tcPr>
            <w:tcW w:w="2830" w:type="dxa"/>
            <w:shd w:val="clear" w:color="auto" w:fill="00FF00"/>
          </w:tcPr>
          <w:p w:rsidR="00597B65" w:rsidRPr="006F3CBF" w:rsidRDefault="00597B65" w:rsidP="00C84A53">
            <w:pPr>
              <w:tabs>
                <w:tab w:val="left" w:pos="1680"/>
              </w:tabs>
            </w:pPr>
            <w:r>
              <w:rPr>
                <w:rFonts w:asciiTheme="majorHAnsi" w:hAnsiTheme="majorHAnsi"/>
                <w:bCs/>
              </w:rPr>
              <w:t>Staff Uniform</w:t>
            </w:r>
          </w:p>
        </w:tc>
        <w:tc>
          <w:tcPr>
            <w:tcW w:w="2299" w:type="dxa"/>
            <w:shd w:val="clear" w:color="auto" w:fill="00FF00"/>
          </w:tcPr>
          <w:p w:rsidR="00597B65" w:rsidRPr="006F3CBF" w:rsidRDefault="00597B65" w:rsidP="00C84A53">
            <w:pPr>
              <w:tabs>
                <w:tab w:val="left" w:pos="1680"/>
              </w:tabs>
            </w:pPr>
            <w:r>
              <w:t xml:space="preserve">Staff to have suitable clothing to teach PE. </w:t>
            </w:r>
          </w:p>
        </w:tc>
        <w:tc>
          <w:tcPr>
            <w:tcW w:w="2565" w:type="dxa"/>
            <w:shd w:val="clear" w:color="auto" w:fill="00FF00"/>
          </w:tcPr>
          <w:p w:rsidR="00597B65" w:rsidRPr="006F3CBF" w:rsidRDefault="00597B65" w:rsidP="00C84A53">
            <w:pPr>
              <w:tabs>
                <w:tab w:val="left" w:pos="1680"/>
              </w:tabs>
            </w:pPr>
            <w:r>
              <w:t xml:space="preserve">Start of Year </w:t>
            </w:r>
          </w:p>
        </w:tc>
        <w:tc>
          <w:tcPr>
            <w:tcW w:w="2565" w:type="dxa"/>
            <w:shd w:val="clear" w:color="auto" w:fill="00FF00"/>
          </w:tcPr>
          <w:p w:rsidR="00597B65" w:rsidRPr="006F3CBF" w:rsidRDefault="00597B65" w:rsidP="00C84A53">
            <w:pPr>
              <w:tabs>
                <w:tab w:val="left" w:pos="1680"/>
              </w:tabs>
            </w:pPr>
            <w:r>
              <w:t>NS &amp; KH</w:t>
            </w:r>
          </w:p>
        </w:tc>
        <w:tc>
          <w:tcPr>
            <w:tcW w:w="2565" w:type="dxa"/>
            <w:shd w:val="clear" w:color="auto" w:fill="00FF00"/>
          </w:tcPr>
          <w:p w:rsidR="00597B65" w:rsidRPr="006F3CBF" w:rsidRDefault="00597B65" w:rsidP="00C84A53">
            <w:pPr>
              <w:tabs>
                <w:tab w:val="left" w:pos="1680"/>
              </w:tabs>
            </w:pPr>
            <w:r>
              <w:t>NS</w:t>
            </w:r>
          </w:p>
        </w:tc>
        <w:tc>
          <w:tcPr>
            <w:tcW w:w="2565" w:type="dxa"/>
            <w:shd w:val="clear" w:color="auto" w:fill="00FF00"/>
          </w:tcPr>
          <w:p w:rsidR="00597B65" w:rsidRPr="006F3CBF" w:rsidRDefault="00597B65" w:rsidP="00C84A53">
            <w:pPr>
              <w:tabs>
                <w:tab w:val="left" w:pos="1680"/>
              </w:tabs>
            </w:pPr>
            <w:r>
              <w:t>£71.79</w:t>
            </w:r>
          </w:p>
        </w:tc>
      </w:tr>
      <w:tr w:rsidR="00597B65" w:rsidTr="00C84A53">
        <w:tc>
          <w:tcPr>
            <w:tcW w:w="2830" w:type="dxa"/>
            <w:shd w:val="clear" w:color="auto" w:fill="00FF00"/>
          </w:tcPr>
          <w:p w:rsidR="00597B65" w:rsidRPr="006F3CBF" w:rsidRDefault="00597B65" w:rsidP="00C84A53">
            <w:pPr>
              <w:tabs>
                <w:tab w:val="left" w:pos="1680"/>
              </w:tabs>
            </w:pPr>
            <w:r>
              <w:rPr>
                <w:rFonts w:asciiTheme="majorHAnsi" w:hAnsiTheme="majorHAnsi"/>
                <w:bCs/>
              </w:rPr>
              <w:t xml:space="preserve">Renew </w:t>
            </w:r>
            <w:proofErr w:type="spellStart"/>
            <w:r>
              <w:rPr>
                <w:rFonts w:asciiTheme="majorHAnsi" w:hAnsiTheme="majorHAnsi"/>
                <w:bCs/>
              </w:rPr>
              <w:t>Afpe</w:t>
            </w:r>
            <w:proofErr w:type="spellEnd"/>
            <w:r>
              <w:rPr>
                <w:rFonts w:asciiTheme="majorHAnsi" w:hAnsiTheme="majorHAnsi"/>
                <w:bCs/>
              </w:rPr>
              <w:t xml:space="preserve"> Membership</w:t>
            </w:r>
          </w:p>
        </w:tc>
        <w:tc>
          <w:tcPr>
            <w:tcW w:w="2299" w:type="dxa"/>
            <w:shd w:val="clear" w:color="auto" w:fill="00FF00"/>
          </w:tcPr>
          <w:p w:rsidR="00597B65" w:rsidRPr="006F3CBF" w:rsidRDefault="00597B65" w:rsidP="00C84A53">
            <w:pPr>
              <w:tabs>
                <w:tab w:val="left" w:pos="1680"/>
              </w:tabs>
            </w:pPr>
            <w:r>
              <w:rPr>
                <w:rFonts w:asciiTheme="majorHAnsi" w:hAnsiTheme="majorHAnsi"/>
                <w:bCs/>
              </w:rPr>
              <w:t>Health and safety updates, support on the PE and Sports Premium.</w:t>
            </w:r>
          </w:p>
        </w:tc>
        <w:tc>
          <w:tcPr>
            <w:tcW w:w="2565" w:type="dxa"/>
            <w:shd w:val="clear" w:color="auto" w:fill="00FF00"/>
          </w:tcPr>
          <w:p w:rsidR="00597B65" w:rsidRPr="006F3CBF" w:rsidRDefault="00597B65" w:rsidP="00C84A53">
            <w:pPr>
              <w:tabs>
                <w:tab w:val="left" w:pos="1680"/>
              </w:tabs>
            </w:pPr>
            <w:r>
              <w:rPr>
                <w:rFonts w:asciiTheme="majorHAnsi" w:hAnsiTheme="majorHAnsi"/>
                <w:bCs/>
              </w:rPr>
              <w:t>Beginning of the year</w:t>
            </w:r>
          </w:p>
        </w:tc>
        <w:tc>
          <w:tcPr>
            <w:tcW w:w="2565" w:type="dxa"/>
            <w:shd w:val="clear" w:color="auto" w:fill="00FF00"/>
          </w:tcPr>
          <w:p w:rsidR="00597B65" w:rsidRPr="006F3CBF" w:rsidRDefault="00597B65" w:rsidP="00C84A53">
            <w:pPr>
              <w:tabs>
                <w:tab w:val="left" w:pos="1680"/>
              </w:tabs>
            </w:pPr>
            <w:r>
              <w:rPr>
                <w:rFonts w:asciiTheme="majorHAnsi" w:hAnsiTheme="majorHAnsi"/>
                <w:bCs/>
              </w:rPr>
              <w:t>NS &amp; KH</w:t>
            </w:r>
          </w:p>
        </w:tc>
        <w:tc>
          <w:tcPr>
            <w:tcW w:w="2565" w:type="dxa"/>
            <w:shd w:val="clear" w:color="auto" w:fill="00FF00"/>
          </w:tcPr>
          <w:p w:rsidR="00597B65" w:rsidRPr="006F3CBF" w:rsidRDefault="00597B65" w:rsidP="00C84A53">
            <w:pPr>
              <w:tabs>
                <w:tab w:val="left" w:pos="1680"/>
              </w:tabs>
            </w:pPr>
            <w:r>
              <w:rPr>
                <w:rFonts w:asciiTheme="majorHAnsi" w:hAnsiTheme="majorHAnsi"/>
                <w:bCs/>
              </w:rPr>
              <w:t>NS</w:t>
            </w:r>
          </w:p>
        </w:tc>
        <w:tc>
          <w:tcPr>
            <w:tcW w:w="2565" w:type="dxa"/>
            <w:shd w:val="clear" w:color="auto" w:fill="00FF00"/>
          </w:tcPr>
          <w:p w:rsidR="00597B65" w:rsidRPr="006F3CBF" w:rsidRDefault="00597B65" w:rsidP="00C84A53">
            <w:pPr>
              <w:tabs>
                <w:tab w:val="left" w:pos="1680"/>
              </w:tabs>
            </w:pPr>
            <w:r>
              <w:t xml:space="preserve">£180 </w:t>
            </w:r>
          </w:p>
        </w:tc>
      </w:tr>
      <w:tr w:rsidR="00597B65" w:rsidTr="00C84A53">
        <w:tc>
          <w:tcPr>
            <w:tcW w:w="2830" w:type="dxa"/>
            <w:shd w:val="clear" w:color="auto" w:fill="00FF00"/>
          </w:tcPr>
          <w:p w:rsidR="00597B65" w:rsidRPr="006F3CBF" w:rsidRDefault="00597B65" w:rsidP="00C84A53">
            <w:pPr>
              <w:tabs>
                <w:tab w:val="left" w:pos="1680"/>
              </w:tabs>
            </w:pPr>
            <w:r>
              <w:t xml:space="preserve">Safe Practice: In physical Education, School Sport &amp; Physical Activity </w:t>
            </w:r>
          </w:p>
        </w:tc>
        <w:tc>
          <w:tcPr>
            <w:tcW w:w="2299" w:type="dxa"/>
            <w:shd w:val="clear" w:color="auto" w:fill="00FF00"/>
          </w:tcPr>
          <w:p w:rsidR="00597B65" w:rsidRPr="00AA0650" w:rsidRDefault="00597B65" w:rsidP="00C84A53">
            <w:pPr>
              <w:tabs>
                <w:tab w:val="left" w:pos="1680"/>
              </w:tabs>
            </w:pPr>
            <w:r w:rsidRPr="00737FC7">
              <w:rPr>
                <w:shd w:val="clear" w:color="auto" w:fill="FFFFFF"/>
              </w:rPr>
              <w:t xml:space="preserve">Essential reference and developmental tool that offers up-to-date advice across PESSPA. </w:t>
            </w:r>
          </w:p>
        </w:tc>
        <w:tc>
          <w:tcPr>
            <w:tcW w:w="2565" w:type="dxa"/>
            <w:shd w:val="clear" w:color="auto" w:fill="00FF00"/>
          </w:tcPr>
          <w:p w:rsidR="00597B65" w:rsidRPr="006F3CBF" w:rsidRDefault="00597B65" w:rsidP="00C84A53">
            <w:pPr>
              <w:tabs>
                <w:tab w:val="left" w:pos="1680"/>
              </w:tabs>
            </w:pPr>
            <w:r>
              <w:t xml:space="preserve">Pre-ordered in July. </w:t>
            </w:r>
          </w:p>
        </w:tc>
        <w:tc>
          <w:tcPr>
            <w:tcW w:w="2565" w:type="dxa"/>
            <w:shd w:val="clear" w:color="auto" w:fill="00FF00"/>
          </w:tcPr>
          <w:p w:rsidR="00597B65" w:rsidRPr="006F3CBF" w:rsidRDefault="00597B65" w:rsidP="00C84A53">
            <w:pPr>
              <w:tabs>
                <w:tab w:val="left" w:pos="1680"/>
              </w:tabs>
            </w:pPr>
            <w:r>
              <w:t>NS &amp; KH</w:t>
            </w:r>
          </w:p>
        </w:tc>
        <w:tc>
          <w:tcPr>
            <w:tcW w:w="2565" w:type="dxa"/>
            <w:shd w:val="clear" w:color="auto" w:fill="00FF00"/>
          </w:tcPr>
          <w:p w:rsidR="00597B65" w:rsidRPr="006F3CBF" w:rsidRDefault="00597B65" w:rsidP="00C84A53">
            <w:pPr>
              <w:tabs>
                <w:tab w:val="left" w:pos="1680"/>
              </w:tabs>
            </w:pPr>
            <w:r>
              <w:t xml:space="preserve">NS &amp; Office </w:t>
            </w:r>
          </w:p>
        </w:tc>
        <w:tc>
          <w:tcPr>
            <w:tcW w:w="2565" w:type="dxa"/>
            <w:shd w:val="clear" w:color="auto" w:fill="00FF00"/>
          </w:tcPr>
          <w:p w:rsidR="00597B65" w:rsidRPr="006F3CBF" w:rsidRDefault="00597B65" w:rsidP="00C84A53">
            <w:pPr>
              <w:tabs>
                <w:tab w:val="left" w:pos="1680"/>
              </w:tabs>
            </w:pPr>
            <w:r>
              <w:t>Pre-ordered for Release in September £44.99</w:t>
            </w:r>
          </w:p>
        </w:tc>
      </w:tr>
      <w:tr w:rsidR="00597B65" w:rsidTr="00C84A53">
        <w:tc>
          <w:tcPr>
            <w:tcW w:w="2830" w:type="dxa"/>
            <w:shd w:val="clear" w:color="auto" w:fill="00FF00"/>
          </w:tcPr>
          <w:p w:rsidR="00597B65" w:rsidRPr="006F3CBF" w:rsidRDefault="00597B65" w:rsidP="00C84A53">
            <w:pPr>
              <w:tabs>
                <w:tab w:val="left" w:pos="1680"/>
              </w:tabs>
            </w:pPr>
            <w:r>
              <w:rPr>
                <w:rFonts w:asciiTheme="majorHAnsi" w:hAnsiTheme="majorHAnsi"/>
                <w:bCs/>
              </w:rPr>
              <w:lastRenderedPageBreak/>
              <w:t>Leicester City School Sport and Physical Activity Network (SSPAN)</w:t>
            </w:r>
          </w:p>
        </w:tc>
        <w:tc>
          <w:tcPr>
            <w:tcW w:w="2299" w:type="dxa"/>
            <w:shd w:val="clear" w:color="auto" w:fill="00FF00"/>
          </w:tcPr>
          <w:p w:rsidR="00597B65" w:rsidRDefault="00597B65" w:rsidP="00C84A53">
            <w:pPr>
              <w:rPr>
                <w:rFonts w:asciiTheme="majorHAnsi" w:hAnsiTheme="majorHAnsi"/>
                <w:bCs/>
              </w:rPr>
            </w:pPr>
            <w:r>
              <w:rPr>
                <w:rFonts w:asciiTheme="majorHAnsi" w:hAnsiTheme="majorHAnsi"/>
                <w:bCs/>
              </w:rPr>
              <w:t xml:space="preserve">Level 2 competitions with progression into level 3 comps. </w:t>
            </w:r>
          </w:p>
          <w:p w:rsidR="00597B65" w:rsidRPr="006F3CBF" w:rsidRDefault="00597B65" w:rsidP="00C84A53">
            <w:pPr>
              <w:tabs>
                <w:tab w:val="left" w:pos="1680"/>
              </w:tabs>
            </w:pPr>
            <w:r>
              <w:rPr>
                <w:rFonts w:asciiTheme="majorHAnsi" w:hAnsiTheme="majorHAnsi"/>
                <w:bCs/>
              </w:rPr>
              <w:t xml:space="preserve">Afterschool clubs, CPD courses, staff meeting and assistance with school games mark.  </w:t>
            </w:r>
          </w:p>
        </w:tc>
        <w:tc>
          <w:tcPr>
            <w:tcW w:w="2565" w:type="dxa"/>
            <w:shd w:val="clear" w:color="auto" w:fill="00FF00"/>
          </w:tcPr>
          <w:p w:rsidR="00597B65" w:rsidRPr="006F3CBF" w:rsidRDefault="00597B65" w:rsidP="00C84A53">
            <w:pPr>
              <w:tabs>
                <w:tab w:val="left" w:pos="1680"/>
              </w:tabs>
            </w:pPr>
            <w:r>
              <w:rPr>
                <w:rFonts w:asciiTheme="majorHAnsi" w:hAnsiTheme="majorHAnsi"/>
                <w:bCs/>
              </w:rPr>
              <w:t>Beginning of the year</w:t>
            </w:r>
          </w:p>
        </w:tc>
        <w:tc>
          <w:tcPr>
            <w:tcW w:w="2565" w:type="dxa"/>
            <w:shd w:val="clear" w:color="auto" w:fill="00FF00"/>
          </w:tcPr>
          <w:p w:rsidR="00597B65" w:rsidRPr="006F3CBF" w:rsidRDefault="00597B65" w:rsidP="00C84A53">
            <w:pPr>
              <w:tabs>
                <w:tab w:val="left" w:pos="1680"/>
              </w:tabs>
            </w:pPr>
            <w:r>
              <w:t xml:space="preserve">NS &amp; KH </w:t>
            </w:r>
          </w:p>
        </w:tc>
        <w:tc>
          <w:tcPr>
            <w:tcW w:w="2565" w:type="dxa"/>
            <w:shd w:val="clear" w:color="auto" w:fill="00FF00"/>
          </w:tcPr>
          <w:p w:rsidR="00597B65" w:rsidRPr="006F3CBF" w:rsidRDefault="00597B65" w:rsidP="00C84A53">
            <w:pPr>
              <w:tabs>
                <w:tab w:val="left" w:pos="1680"/>
              </w:tabs>
            </w:pPr>
            <w:r>
              <w:t xml:space="preserve">NS </w:t>
            </w:r>
          </w:p>
        </w:tc>
        <w:tc>
          <w:tcPr>
            <w:tcW w:w="2565" w:type="dxa"/>
            <w:shd w:val="clear" w:color="auto" w:fill="00FF00"/>
          </w:tcPr>
          <w:p w:rsidR="00597B65" w:rsidRPr="006F3CBF" w:rsidRDefault="00597B65" w:rsidP="00C84A53">
            <w:pPr>
              <w:tabs>
                <w:tab w:val="left" w:pos="1680"/>
              </w:tabs>
            </w:pPr>
            <w:r>
              <w:t>Approx £1300</w:t>
            </w:r>
          </w:p>
        </w:tc>
      </w:tr>
      <w:tr w:rsidR="00597B65" w:rsidTr="00C84A53">
        <w:tc>
          <w:tcPr>
            <w:tcW w:w="2830" w:type="dxa"/>
            <w:shd w:val="clear" w:color="auto" w:fill="00FF00"/>
          </w:tcPr>
          <w:p w:rsidR="00597B65" w:rsidRPr="006F3CBF" w:rsidRDefault="00597B65" w:rsidP="00C84A53">
            <w:pPr>
              <w:tabs>
                <w:tab w:val="left" w:pos="1680"/>
              </w:tabs>
            </w:pPr>
            <w:r>
              <w:rPr>
                <w:rFonts w:asciiTheme="majorHAnsi" w:hAnsiTheme="majorHAnsi"/>
                <w:bCs/>
              </w:rPr>
              <w:t>CPD courses</w:t>
            </w:r>
          </w:p>
        </w:tc>
        <w:tc>
          <w:tcPr>
            <w:tcW w:w="2299" w:type="dxa"/>
            <w:shd w:val="clear" w:color="auto" w:fill="00FF00"/>
          </w:tcPr>
          <w:p w:rsidR="00597B65" w:rsidRPr="006F3CBF" w:rsidRDefault="00597B65" w:rsidP="00C84A53">
            <w:pPr>
              <w:tabs>
                <w:tab w:val="left" w:pos="1680"/>
              </w:tabs>
            </w:pPr>
            <w:r>
              <w:t xml:space="preserve">Staff to attend virtual CPD courses ran by the SSPAN. Increasing staff confidence in teaching PE also for staff to run afterschool clubs. (Email was sent to staff about CPD month in November) </w:t>
            </w:r>
          </w:p>
        </w:tc>
        <w:tc>
          <w:tcPr>
            <w:tcW w:w="2565" w:type="dxa"/>
            <w:shd w:val="clear" w:color="auto" w:fill="00FF00"/>
          </w:tcPr>
          <w:p w:rsidR="00597B65" w:rsidRPr="006F3CBF" w:rsidRDefault="00597B65" w:rsidP="00C84A53">
            <w:pPr>
              <w:tabs>
                <w:tab w:val="left" w:pos="1680"/>
              </w:tabs>
            </w:pPr>
            <w:r>
              <w:t xml:space="preserve">Whole year, CPD for afterschool clubs before Christmas looking to start at Christmas holidays. </w:t>
            </w:r>
          </w:p>
        </w:tc>
        <w:tc>
          <w:tcPr>
            <w:tcW w:w="2565" w:type="dxa"/>
            <w:shd w:val="clear" w:color="auto" w:fill="00FF00"/>
          </w:tcPr>
          <w:p w:rsidR="00597B65" w:rsidRPr="006F3CBF" w:rsidRDefault="00597B65" w:rsidP="00C84A53">
            <w:pPr>
              <w:tabs>
                <w:tab w:val="left" w:pos="1680"/>
              </w:tabs>
            </w:pPr>
            <w:r>
              <w:t xml:space="preserve">NS &amp; KH </w:t>
            </w:r>
          </w:p>
        </w:tc>
        <w:tc>
          <w:tcPr>
            <w:tcW w:w="2565" w:type="dxa"/>
            <w:shd w:val="clear" w:color="auto" w:fill="00FF00"/>
          </w:tcPr>
          <w:p w:rsidR="00597B65" w:rsidRPr="006F3CBF" w:rsidRDefault="00597B65" w:rsidP="00C84A53">
            <w:pPr>
              <w:tabs>
                <w:tab w:val="left" w:pos="1680"/>
              </w:tabs>
            </w:pPr>
            <w:r>
              <w:t xml:space="preserve">NS </w:t>
            </w:r>
          </w:p>
        </w:tc>
        <w:tc>
          <w:tcPr>
            <w:tcW w:w="2565" w:type="dxa"/>
            <w:shd w:val="clear" w:color="auto" w:fill="00FF00"/>
          </w:tcPr>
          <w:p w:rsidR="00597B65" w:rsidRPr="006F3CBF" w:rsidRDefault="00597B65" w:rsidP="00C84A53">
            <w:pPr>
              <w:tabs>
                <w:tab w:val="left" w:pos="1680"/>
              </w:tabs>
            </w:pPr>
            <w:r>
              <w:t xml:space="preserve">£1000 approx. </w:t>
            </w:r>
          </w:p>
        </w:tc>
      </w:tr>
      <w:tr w:rsidR="00597B65" w:rsidTr="00C84A53">
        <w:tc>
          <w:tcPr>
            <w:tcW w:w="2830" w:type="dxa"/>
            <w:shd w:val="clear" w:color="auto" w:fill="auto"/>
          </w:tcPr>
          <w:p w:rsidR="00597B65" w:rsidRPr="00707E06" w:rsidRDefault="00597B65" w:rsidP="00C84A53">
            <w:pPr>
              <w:tabs>
                <w:tab w:val="left" w:pos="1680"/>
              </w:tabs>
            </w:pPr>
            <w:r w:rsidRPr="00707E06">
              <w:rPr>
                <w:bCs/>
              </w:rPr>
              <w:t>SafeSport UK</w:t>
            </w:r>
          </w:p>
        </w:tc>
        <w:tc>
          <w:tcPr>
            <w:tcW w:w="2299" w:type="dxa"/>
            <w:shd w:val="clear" w:color="auto" w:fill="auto"/>
          </w:tcPr>
          <w:p w:rsidR="00597B65" w:rsidRPr="00707E06" w:rsidRDefault="00597B65" w:rsidP="00C84A53">
            <w:pPr>
              <w:tabs>
                <w:tab w:val="left" w:pos="1680"/>
              </w:tabs>
            </w:pPr>
            <w:r w:rsidRPr="00707E06">
              <w:rPr>
                <w:bCs/>
              </w:rPr>
              <w:t>Check sports equipment to make sure it’s safe to use.</w:t>
            </w:r>
          </w:p>
        </w:tc>
        <w:tc>
          <w:tcPr>
            <w:tcW w:w="2565" w:type="dxa"/>
            <w:shd w:val="clear" w:color="auto" w:fill="auto"/>
          </w:tcPr>
          <w:p w:rsidR="00597B65" w:rsidRPr="006F3CBF" w:rsidRDefault="00597B65" w:rsidP="00C84A53">
            <w:pPr>
              <w:tabs>
                <w:tab w:val="left" w:pos="1680"/>
              </w:tabs>
            </w:pPr>
            <w:r>
              <w:rPr>
                <w:rFonts w:asciiTheme="majorHAnsi" w:hAnsiTheme="majorHAnsi"/>
                <w:bCs/>
              </w:rPr>
              <w:t>Christmas (Year after last inspection)</w:t>
            </w:r>
          </w:p>
        </w:tc>
        <w:tc>
          <w:tcPr>
            <w:tcW w:w="2565" w:type="dxa"/>
            <w:shd w:val="clear" w:color="auto" w:fill="auto"/>
          </w:tcPr>
          <w:p w:rsidR="00597B65" w:rsidRPr="006F3CBF" w:rsidRDefault="00597B65" w:rsidP="00C84A53">
            <w:pPr>
              <w:tabs>
                <w:tab w:val="left" w:pos="1680"/>
              </w:tabs>
            </w:pPr>
            <w:r>
              <w:t xml:space="preserve">NS / Office </w:t>
            </w:r>
          </w:p>
        </w:tc>
        <w:tc>
          <w:tcPr>
            <w:tcW w:w="2565" w:type="dxa"/>
            <w:shd w:val="clear" w:color="auto" w:fill="auto"/>
          </w:tcPr>
          <w:p w:rsidR="00597B65" w:rsidRPr="006F3CBF" w:rsidRDefault="00597B65" w:rsidP="00C84A53">
            <w:pPr>
              <w:tabs>
                <w:tab w:val="left" w:pos="1680"/>
              </w:tabs>
            </w:pPr>
            <w:r>
              <w:t xml:space="preserve">NS &amp; office </w:t>
            </w:r>
          </w:p>
        </w:tc>
        <w:tc>
          <w:tcPr>
            <w:tcW w:w="2565" w:type="dxa"/>
            <w:shd w:val="clear" w:color="auto" w:fill="auto"/>
          </w:tcPr>
          <w:p w:rsidR="00597B65" w:rsidRPr="006F3CBF" w:rsidRDefault="00597B65" w:rsidP="00C84A53">
            <w:pPr>
              <w:tabs>
                <w:tab w:val="left" w:pos="1680"/>
              </w:tabs>
            </w:pPr>
            <w:r>
              <w:t xml:space="preserve">Dependant on work carried out. </w:t>
            </w:r>
          </w:p>
        </w:tc>
      </w:tr>
      <w:tr w:rsidR="00597B65" w:rsidTr="00C84A53">
        <w:tc>
          <w:tcPr>
            <w:tcW w:w="2830" w:type="dxa"/>
            <w:shd w:val="clear" w:color="auto" w:fill="auto"/>
          </w:tcPr>
          <w:p w:rsidR="00597B65" w:rsidRPr="006F3CBF" w:rsidRDefault="00597B65" w:rsidP="00C84A53">
            <w:pPr>
              <w:tabs>
                <w:tab w:val="left" w:pos="1680"/>
              </w:tabs>
            </w:pPr>
            <w:r>
              <w:t xml:space="preserve">Swimming Booster sessions with year 6. </w:t>
            </w:r>
          </w:p>
        </w:tc>
        <w:tc>
          <w:tcPr>
            <w:tcW w:w="2299" w:type="dxa"/>
            <w:shd w:val="clear" w:color="auto" w:fill="auto"/>
          </w:tcPr>
          <w:p w:rsidR="00597B65" w:rsidRPr="006F3CBF" w:rsidRDefault="00597B65" w:rsidP="00C84A53">
            <w:pPr>
              <w:tabs>
                <w:tab w:val="left" w:pos="1680"/>
              </w:tabs>
            </w:pPr>
            <w:r>
              <w:t xml:space="preserve">To cover any loss of swimming lessons from last year due to COVID. </w:t>
            </w:r>
          </w:p>
        </w:tc>
        <w:tc>
          <w:tcPr>
            <w:tcW w:w="2565" w:type="dxa"/>
            <w:shd w:val="clear" w:color="auto" w:fill="auto"/>
          </w:tcPr>
          <w:p w:rsidR="00597B65" w:rsidRPr="006F3CBF" w:rsidRDefault="00597B65" w:rsidP="00C84A53">
            <w:pPr>
              <w:tabs>
                <w:tab w:val="left" w:pos="1680"/>
              </w:tabs>
            </w:pPr>
            <w:r>
              <w:t xml:space="preserve">After SATS next year </w:t>
            </w:r>
          </w:p>
        </w:tc>
        <w:tc>
          <w:tcPr>
            <w:tcW w:w="2565" w:type="dxa"/>
            <w:shd w:val="clear" w:color="auto" w:fill="auto"/>
          </w:tcPr>
          <w:p w:rsidR="00597B65" w:rsidRPr="006F3CBF" w:rsidRDefault="00597B65" w:rsidP="00C84A53">
            <w:pPr>
              <w:tabs>
                <w:tab w:val="left" w:pos="1680"/>
              </w:tabs>
            </w:pPr>
            <w:r>
              <w:t xml:space="preserve">NS &amp; KH to increase the percentage of children leaving meeting the national requirements. </w:t>
            </w:r>
          </w:p>
        </w:tc>
        <w:tc>
          <w:tcPr>
            <w:tcW w:w="2565" w:type="dxa"/>
            <w:shd w:val="clear" w:color="auto" w:fill="auto"/>
          </w:tcPr>
          <w:p w:rsidR="00597B65" w:rsidRPr="006F3CBF" w:rsidRDefault="00597B65" w:rsidP="00C84A53">
            <w:pPr>
              <w:tabs>
                <w:tab w:val="left" w:pos="1680"/>
              </w:tabs>
            </w:pPr>
            <w:r>
              <w:t xml:space="preserve">NS </w:t>
            </w:r>
          </w:p>
        </w:tc>
        <w:tc>
          <w:tcPr>
            <w:tcW w:w="2565" w:type="dxa"/>
            <w:shd w:val="clear" w:color="auto" w:fill="auto"/>
          </w:tcPr>
          <w:p w:rsidR="00597B65" w:rsidRPr="006F3CBF" w:rsidRDefault="00597B65" w:rsidP="00C84A53">
            <w:pPr>
              <w:tabs>
                <w:tab w:val="left" w:pos="1680"/>
              </w:tabs>
            </w:pPr>
            <w:r>
              <w:t xml:space="preserve">£3000 Approx </w:t>
            </w:r>
          </w:p>
        </w:tc>
      </w:tr>
      <w:tr w:rsidR="00597B65" w:rsidTr="00C84A53">
        <w:tc>
          <w:tcPr>
            <w:tcW w:w="2830" w:type="dxa"/>
            <w:shd w:val="clear" w:color="auto" w:fill="auto"/>
          </w:tcPr>
          <w:p w:rsidR="00597B65" w:rsidRPr="006F3CBF" w:rsidRDefault="00597B65" w:rsidP="00C84A53">
            <w:pPr>
              <w:tabs>
                <w:tab w:val="left" w:pos="1680"/>
              </w:tabs>
            </w:pPr>
            <w:r>
              <w:t xml:space="preserve">Sports Council / Sport Leaders training </w:t>
            </w:r>
          </w:p>
        </w:tc>
        <w:tc>
          <w:tcPr>
            <w:tcW w:w="2299" w:type="dxa"/>
            <w:shd w:val="clear" w:color="auto" w:fill="auto"/>
          </w:tcPr>
          <w:p w:rsidR="00597B65" w:rsidRPr="006F3CBF" w:rsidRDefault="00597B65" w:rsidP="00C84A53">
            <w:pPr>
              <w:tabs>
                <w:tab w:val="left" w:pos="1680"/>
              </w:tabs>
            </w:pPr>
            <w:r>
              <w:t xml:space="preserve">To train children to become sports </w:t>
            </w:r>
            <w:r>
              <w:lastRenderedPageBreak/>
              <w:t xml:space="preserve">leaders. Games mark. </w:t>
            </w:r>
          </w:p>
        </w:tc>
        <w:tc>
          <w:tcPr>
            <w:tcW w:w="2565" w:type="dxa"/>
            <w:shd w:val="clear" w:color="auto" w:fill="auto"/>
          </w:tcPr>
          <w:p w:rsidR="00597B65" w:rsidRPr="006F3CBF" w:rsidRDefault="00597B65" w:rsidP="00C84A53">
            <w:pPr>
              <w:tabs>
                <w:tab w:val="left" w:pos="1680"/>
              </w:tabs>
            </w:pPr>
            <w:r>
              <w:lastRenderedPageBreak/>
              <w:t xml:space="preserve">Virtual training arranged by SSPAN. </w:t>
            </w:r>
            <w:r>
              <w:lastRenderedPageBreak/>
              <w:t xml:space="preserve">– </w:t>
            </w:r>
            <w:r w:rsidRPr="00AB1EE3">
              <w:rPr>
                <w:shd w:val="clear" w:color="auto" w:fill="00FF00"/>
              </w:rPr>
              <w:t>Resources have been ordered NO COST.</w:t>
            </w:r>
            <w:r>
              <w:t xml:space="preserve">  </w:t>
            </w:r>
          </w:p>
        </w:tc>
        <w:tc>
          <w:tcPr>
            <w:tcW w:w="2565" w:type="dxa"/>
            <w:shd w:val="clear" w:color="auto" w:fill="auto"/>
          </w:tcPr>
          <w:p w:rsidR="00597B65" w:rsidRPr="006F3CBF" w:rsidRDefault="00597B65" w:rsidP="00C84A53">
            <w:pPr>
              <w:tabs>
                <w:tab w:val="left" w:pos="1680"/>
              </w:tabs>
            </w:pPr>
            <w:r>
              <w:lastRenderedPageBreak/>
              <w:t xml:space="preserve">NS &amp; SLT </w:t>
            </w:r>
          </w:p>
        </w:tc>
        <w:tc>
          <w:tcPr>
            <w:tcW w:w="2565" w:type="dxa"/>
            <w:shd w:val="clear" w:color="auto" w:fill="auto"/>
          </w:tcPr>
          <w:p w:rsidR="00597B65" w:rsidRPr="006F3CBF" w:rsidRDefault="00597B65" w:rsidP="00C84A53">
            <w:pPr>
              <w:tabs>
                <w:tab w:val="left" w:pos="1680"/>
              </w:tabs>
            </w:pPr>
            <w:r>
              <w:t>NS</w:t>
            </w:r>
          </w:p>
        </w:tc>
        <w:tc>
          <w:tcPr>
            <w:tcW w:w="2565" w:type="dxa"/>
            <w:shd w:val="clear" w:color="auto" w:fill="auto"/>
          </w:tcPr>
          <w:p w:rsidR="00597B65" w:rsidRPr="006F3CBF" w:rsidRDefault="00597B65" w:rsidP="00C84A53">
            <w:pPr>
              <w:tabs>
                <w:tab w:val="left" w:pos="1680"/>
              </w:tabs>
            </w:pPr>
            <w:r>
              <w:t xml:space="preserve">N/A </w:t>
            </w:r>
          </w:p>
        </w:tc>
      </w:tr>
      <w:tr w:rsidR="00597B65" w:rsidTr="00C84A53">
        <w:tc>
          <w:tcPr>
            <w:tcW w:w="2830" w:type="dxa"/>
            <w:shd w:val="clear" w:color="auto" w:fill="auto"/>
          </w:tcPr>
          <w:p w:rsidR="00597B65" w:rsidRPr="006F3CBF" w:rsidRDefault="00597B65" w:rsidP="00C84A53">
            <w:pPr>
              <w:tabs>
                <w:tab w:val="left" w:pos="1680"/>
              </w:tabs>
            </w:pPr>
            <w:r>
              <w:lastRenderedPageBreak/>
              <w:t xml:space="preserve">Update Equipment and storage units for the PE cupboard. To include SEND equipment. </w:t>
            </w:r>
          </w:p>
        </w:tc>
        <w:tc>
          <w:tcPr>
            <w:tcW w:w="2299" w:type="dxa"/>
            <w:shd w:val="clear" w:color="auto" w:fill="auto"/>
          </w:tcPr>
          <w:p w:rsidR="00597B65" w:rsidRPr="006F3CBF" w:rsidRDefault="00597B65" w:rsidP="00C84A53">
            <w:pPr>
              <w:tabs>
                <w:tab w:val="left" w:pos="1680"/>
              </w:tabs>
            </w:pPr>
            <w:r>
              <w:t xml:space="preserve">To update equipment to attend as many virtual competitions ran by the SSPAN. </w:t>
            </w:r>
          </w:p>
        </w:tc>
        <w:tc>
          <w:tcPr>
            <w:tcW w:w="2565" w:type="dxa"/>
            <w:shd w:val="clear" w:color="auto" w:fill="auto"/>
          </w:tcPr>
          <w:p w:rsidR="00597B65" w:rsidRPr="00FD6372" w:rsidRDefault="00597B65" w:rsidP="00C84A53">
            <w:pPr>
              <w:tabs>
                <w:tab w:val="left" w:pos="1680"/>
              </w:tabs>
              <w:rPr>
                <w:b/>
              </w:rPr>
            </w:pPr>
            <w:r w:rsidRPr="00FD6372">
              <w:rPr>
                <w:bCs/>
              </w:rPr>
              <w:t>Beginning of year</w:t>
            </w:r>
            <w:r>
              <w:rPr>
                <w:bCs/>
              </w:rPr>
              <w:t xml:space="preserve"> (linking above with the remaining budget from last year. </w:t>
            </w:r>
          </w:p>
        </w:tc>
        <w:tc>
          <w:tcPr>
            <w:tcW w:w="2565" w:type="dxa"/>
            <w:shd w:val="clear" w:color="auto" w:fill="auto"/>
          </w:tcPr>
          <w:p w:rsidR="00597B65" w:rsidRPr="006F3CBF" w:rsidRDefault="00597B65" w:rsidP="00C84A53">
            <w:pPr>
              <w:tabs>
                <w:tab w:val="left" w:pos="1680"/>
              </w:tabs>
            </w:pPr>
            <w:r>
              <w:t>NS &amp; SLT</w:t>
            </w:r>
          </w:p>
        </w:tc>
        <w:tc>
          <w:tcPr>
            <w:tcW w:w="2565" w:type="dxa"/>
            <w:shd w:val="clear" w:color="auto" w:fill="auto"/>
          </w:tcPr>
          <w:p w:rsidR="00597B65" w:rsidRPr="006F3CBF" w:rsidRDefault="00597B65" w:rsidP="00C84A53">
            <w:pPr>
              <w:tabs>
                <w:tab w:val="left" w:pos="1680"/>
              </w:tabs>
            </w:pPr>
            <w:r>
              <w:t xml:space="preserve">NS </w:t>
            </w:r>
          </w:p>
        </w:tc>
        <w:tc>
          <w:tcPr>
            <w:tcW w:w="2565" w:type="dxa"/>
            <w:shd w:val="clear" w:color="auto" w:fill="auto"/>
          </w:tcPr>
          <w:p w:rsidR="00597B65" w:rsidRPr="006F3CBF" w:rsidRDefault="00597B65" w:rsidP="00C84A53">
            <w:pPr>
              <w:tabs>
                <w:tab w:val="left" w:pos="1680"/>
              </w:tabs>
            </w:pPr>
            <w:r>
              <w:t xml:space="preserve">£6000 </w:t>
            </w:r>
          </w:p>
        </w:tc>
      </w:tr>
      <w:tr w:rsidR="00597B65" w:rsidTr="00C84A53">
        <w:tc>
          <w:tcPr>
            <w:tcW w:w="2830" w:type="dxa"/>
            <w:shd w:val="clear" w:color="auto" w:fill="auto"/>
          </w:tcPr>
          <w:p w:rsidR="00597B65" w:rsidRDefault="00597B65" w:rsidP="00C84A53">
            <w:pPr>
              <w:tabs>
                <w:tab w:val="left" w:pos="1680"/>
              </w:tabs>
            </w:pPr>
            <w:r>
              <w:t xml:space="preserve">SEND clubs / competitions </w:t>
            </w:r>
          </w:p>
        </w:tc>
        <w:tc>
          <w:tcPr>
            <w:tcW w:w="2299" w:type="dxa"/>
            <w:shd w:val="clear" w:color="auto" w:fill="auto"/>
          </w:tcPr>
          <w:p w:rsidR="00597B65" w:rsidRDefault="00597B65" w:rsidP="00C84A53">
            <w:pPr>
              <w:tabs>
                <w:tab w:val="left" w:pos="1680"/>
              </w:tabs>
            </w:pPr>
            <w:r>
              <w:t xml:space="preserve">Afterschool clubs and virtual competitions. </w:t>
            </w:r>
          </w:p>
        </w:tc>
        <w:tc>
          <w:tcPr>
            <w:tcW w:w="2565" w:type="dxa"/>
            <w:shd w:val="clear" w:color="auto" w:fill="auto"/>
          </w:tcPr>
          <w:p w:rsidR="00597B65" w:rsidRPr="00FD6372" w:rsidRDefault="00597B65" w:rsidP="00C84A53">
            <w:pPr>
              <w:tabs>
                <w:tab w:val="left" w:pos="1680"/>
              </w:tabs>
              <w:rPr>
                <w:bCs/>
              </w:rPr>
            </w:pPr>
            <w:r>
              <w:rPr>
                <w:bCs/>
              </w:rPr>
              <w:t xml:space="preserve">Whole </w:t>
            </w:r>
          </w:p>
        </w:tc>
        <w:tc>
          <w:tcPr>
            <w:tcW w:w="2565" w:type="dxa"/>
            <w:shd w:val="clear" w:color="auto" w:fill="auto"/>
          </w:tcPr>
          <w:p w:rsidR="00597B65" w:rsidRDefault="00597B65" w:rsidP="00C84A53">
            <w:pPr>
              <w:tabs>
                <w:tab w:val="left" w:pos="1680"/>
              </w:tabs>
            </w:pPr>
            <w:r>
              <w:t>NS &amp; SENCO</w:t>
            </w:r>
          </w:p>
        </w:tc>
        <w:tc>
          <w:tcPr>
            <w:tcW w:w="2565" w:type="dxa"/>
            <w:shd w:val="clear" w:color="auto" w:fill="auto"/>
          </w:tcPr>
          <w:p w:rsidR="00597B65" w:rsidRDefault="00597B65" w:rsidP="00C84A53">
            <w:pPr>
              <w:tabs>
                <w:tab w:val="left" w:pos="1680"/>
              </w:tabs>
            </w:pPr>
            <w:r>
              <w:t>NS</w:t>
            </w:r>
          </w:p>
        </w:tc>
        <w:tc>
          <w:tcPr>
            <w:tcW w:w="2565" w:type="dxa"/>
            <w:shd w:val="clear" w:color="auto" w:fill="auto"/>
          </w:tcPr>
          <w:p w:rsidR="00597B65" w:rsidRDefault="00597B65" w:rsidP="00C84A53">
            <w:pPr>
              <w:tabs>
                <w:tab w:val="left" w:pos="1680"/>
              </w:tabs>
            </w:pPr>
            <w:r>
              <w:t xml:space="preserve">N/A </w:t>
            </w:r>
          </w:p>
        </w:tc>
      </w:tr>
      <w:tr w:rsidR="00597B65" w:rsidTr="00C84A53">
        <w:tc>
          <w:tcPr>
            <w:tcW w:w="2830" w:type="dxa"/>
            <w:shd w:val="clear" w:color="auto" w:fill="auto"/>
          </w:tcPr>
          <w:p w:rsidR="00597B65" w:rsidRDefault="00597B65" w:rsidP="00C84A53">
            <w:pPr>
              <w:tabs>
                <w:tab w:val="left" w:pos="1680"/>
              </w:tabs>
            </w:pPr>
            <w:r>
              <w:t xml:space="preserve">Energize club </w:t>
            </w:r>
          </w:p>
        </w:tc>
        <w:tc>
          <w:tcPr>
            <w:tcW w:w="2299" w:type="dxa"/>
            <w:shd w:val="clear" w:color="auto" w:fill="auto"/>
          </w:tcPr>
          <w:p w:rsidR="00597B65" w:rsidRDefault="00597B65" w:rsidP="00C84A53">
            <w:pPr>
              <w:tabs>
                <w:tab w:val="left" w:pos="1680"/>
              </w:tabs>
            </w:pPr>
            <w:r>
              <w:t xml:space="preserve">To target inactive children within school, CPD from SSPAN network </w:t>
            </w:r>
          </w:p>
          <w:p w:rsidR="00597B65" w:rsidRDefault="00597B65" w:rsidP="00C84A53">
            <w:pPr>
              <w:tabs>
                <w:tab w:val="left" w:pos="1680"/>
              </w:tabs>
            </w:pPr>
          </w:p>
        </w:tc>
        <w:tc>
          <w:tcPr>
            <w:tcW w:w="2565" w:type="dxa"/>
            <w:shd w:val="clear" w:color="auto" w:fill="auto"/>
          </w:tcPr>
          <w:p w:rsidR="00597B65" w:rsidRDefault="00597B65" w:rsidP="00C84A53">
            <w:pPr>
              <w:tabs>
                <w:tab w:val="left" w:pos="1680"/>
              </w:tabs>
              <w:rPr>
                <w:bCs/>
              </w:rPr>
            </w:pPr>
            <w:r>
              <w:rPr>
                <w:bCs/>
              </w:rPr>
              <w:t xml:space="preserve">Whole </w:t>
            </w:r>
          </w:p>
        </w:tc>
        <w:tc>
          <w:tcPr>
            <w:tcW w:w="2565" w:type="dxa"/>
            <w:shd w:val="clear" w:color="auto" w:fill="auto"/>
          </w:tcPr>
          <w:p w:rsidR="00597B65" w:rsidRDefault="00597B65" w:rsidP="00C84A53">
            <w:pPr>
              <w:tabs>
                <w:tab w:val="left" w:pos="1680"/>
              </w:tabs>
            </w:pPr>
            <w:r>
              <w:t xml:space="preserve">NS </w:t>
            </w:r>
          </w:p>
        </w:tc>
        <w:tc>
          <w:tcPr>
            <w:tcW w:w="2565" w:type="dxa"/>
            <w:shd w:val="clear" w:color="auto" w:fill="auto"/>
          </w:tcPr>
          <w:p w:rsidR="00597B65" w:rsidRDefault="00597B65" w:rsidP="00C84A53">
            <w:pPr>
              <w:tabs>
                <w:tab w:val="left" w:pos="1680"/>
              </w:tabs>
            </w:pPr>
            <w:r>
              <w:t>NS</w:t>
            </w:r>
          </w:p>
        </w:tc>
        <w:tc>
          <w:tcPr>
            <w:tcW w:w="2565" w:type="dxa"/>
            <w:shd w:val="clear" w:color="auto" w:fill="auto"/>
          </w:tcPr>
          <w:p w:rsidR="00597B65" w:rsidRDefault="00597B65" w:rsidP="00C84A53">
            <w:pPr>
              <w:tabs>
                <w:tab w:val="left" w:pos="1680"/>
              </w:tabs>
            </w:pPr>
            <w:r>
              <w:t xml:space="preserve">Cost in with CPD. </w:t>
            </w:r>
          </w:p>
        </w:tc>
      </w:tr>
      <w:tr w:rsidR="00597B65" w:rsidTr="00C84A53">
        <w:tc>
          <w:tcPr>
            <w:tcW w:w="2830" w:type="dxa"/>
            <w:shd w:val="clear" w:color="auto" w:fill="auto"/>
          </w:tcPr>
          <w:p w:rsidR="00597B65" w:rsidRPr="006F3CBF" w:rsidRDefault="00597B65" w:rsidP="00C84A53">
            <w:pPr>
              <w:tabs>
                <w:tab w:val="left" w:pos="1680"/>
              </w:tabs>
            </w:pPr>
            <w:r>
              <w:t xml:space="preserve">Travel –  depends on guidelines. </w:t>
            </w:r>
          </w:p>
        </w:tc>
        <w:tc>
          <w:tcPr>
            <w:tcW w:w="2299" w:type="dxa"/>
            <w:shd w:val="clear" w:color="auto" w:fill="auto"/>
          </w:tcPr>
          <w:p w:rsidR="00597B65" w:rsidRPr="00FD6372" w:rsidRDefault="00597B65" w:rsidP="00C84A53">
            <w:pPr>
              <w:tabs>
                <w:tab w:val="left" w:pos="1680"/>
              </w:tabs>
            </w:pPr>
            <w:r w:rsidRPr="00FD6372">
              <w:rPr>
                <w:bCs/>
              </w:rPr>
              <w:t>Competing in SSPAN ran competitions.</w:t>
            </w:r>
            <w:r>
              <w:rPr>
                <w:bCs/>
              </w:rPr>
              <w:t xml:space="preserve"> (If and when this can re-start) </w:t>
            </w:r>
          </w:p>
        </w:tc>
        <w:tc>
          <w:tcPr>
            <w:tcW w:w="2565" w:type="dxa"/>
            <w:shd w:val="clear" w:color="auto" w:fill="auto"/>
          </w:tcPr>
          <w:p w:rsidR="00597B65" w:rsidRPr="006F3CBF" w:rsidRDefault="00597B65" w:rsidP="00C84A53">
            <w:pPr>
              <w:tabs>
                <w:tab w:val="left" w:pos="1680"/>
              </w:tabs>
            </w:pPr>
            <w:r>
              <w:t xml:space="preserve">When able to attend. </w:t>
            </w:r>
          </w:p>
        </w:tc>
        <w:tc>
          <w:tcPr>
            <w:tcW w:w="2565" w:type="dxa"/>
            <w:shd w:val="clear" w:color="auto" w:fill="auto"/>
          </w:tcPr>
          <w:p w:rsidR="00597B65" w:rsidRPr="006F3CBF" w:rsidRDefault="00597B65" w:rsidP="00C84A53">
            <w:pPr>
              <w:tabs>
                <w:tab w:val="left" w:pos="1680"/>
              </w:tabs>
            </w:pPr>
            <w:r>
              <w:t xml:space="preserve">NS &amp; KH </w:t>
            </w:r>
          </w:p>
        </w:tc>
        <w:tc>
          <w:tcPr>
            <w:tcW w:w="2565" w:type="dxa"/>
            <w:shd w:val="clear" w:color="auto" w:fill="auto"/>
          </w:tcPr>
          <w:p w:rsidR="00597B65" w:rsidRPr="006F3CBF" w:rsidRDefault="00597B65" w:rsidP="00C84A53">
            <w:pPr>
              <w:tabs>
                <w:tab w:val="left" w:pos="1680"/>
              </w:tabs>
            </w:pPr>
            <w:r>
              <w:t>NS</w:t>
            </w:r>
          </w:p>
        </w:tc>
        <w:tc>
          <w:tcPr>
            <w:tcW w:w="2565" w:type="dxa"/>
            <w:shd w:val="clear" w:color="auto" w:fill="auto"/>
          </w:tcPr>
          <w:p w:rsidR="00597B65" w:rsidRPr="006F3CBF" w:rsidRDefault="00597B65" w:rsidP="00C84A53">
            <w:pPr>
              <w:tabs>
                <w:tab w:val="left" w:pos="1680"/>
              </w:tabs>
            </w:pPr>
            <w:r>
              <w:t>£3000</w:t>
            </w:r>
          </w:p>
        </w:tc>
      </w:tr>
      <w:tr w:rsidR="00597B65" w:rsidTr="00C84A53">
        <w:tc>
          <w:tcPr>
            <w:tcW w:w="2830" w:type="dxa"/>
            <w:shd w:val="clear" w:color="auto" w:fill="auto"/>
          </w:tcPr>
          <w:p w:rsidR="00597B65" w:rsidRDefault="00597B65" w:rsidP="00C84A53">
            <w:pPr>
              <w:tabs>
                <w:tab w:val="left" w:pos="1680"/>
              </w:tabs>
            </w:pPr>
            <w:r>
              <w:t>Gold School Games Mark</w:t>
            </w:r>
          </w:p>
        </w:tc>
        <w:tc>
          <w:tcPr>
            <w:tcW w:w="2299" w:type="dxa"/>
            <w:shd w:val="clear" w:color="auto" w:fill="auto"/>
          </w:tcPr>
          <w:p w:rsidR="00597B65" w:rsidRPr="00FD6372" w:rsidRDefault="00597B65" w:rsidP="00C84A53">
            <w:pPr>
              <w:tabs>
                <w:tab w:val="left" w:pos="1680"/>
              </w:tabs>
              <w:rPr>
                <w:bCs/>
              </w:rPr>
            </w:pPr>
            <w:r>
              <w:rPr>
                <w:bCs/>
              </w:rPr>
              <w:t xml:space="preserve">Need to attend as many virtual and any other competitions as possible to meet the criteria. </w:t>
            </w:r>
          </w:p>
        </w:tc>
        <w:tc>
          <w:tcPr>
            <w:tcW w:w="2565" w:type="dxa"/>
            <w:shd w:val="clear" w:color="auto" w:fill="auto"/>
          </w:tcPr>
          <w:p w:rsidR="00597B65" w:rsidRDefault="00597B65" w:rsidP="00C84A53">
            <w:pPr>
              <w:tabs>
                <w:tab w:val="left" w:pos="1680"/>
              </w:tabs>
            </w:pPr>
            <w:r>
              <w:t xml:space="preserve">Whole </w:t>
            </w:r>
          </w:p>
        </w:tc>
        <w:tc>
          <w:tcPr>
            <w:tcW w:w="2565" w:type="dxa"/>
            <w:shd w:val="clear" w:color="auto" w:fill="auto"/>
          </w:tcPr>
          <w:p w:rsidR="00597B65" w:rsidRDefault="00597B65" w:rsidP="00C84A53">
            <w:pPr>
              <w:tabs>
                <w:tab w:val="left" w:pos="1680"/>
              </w:tabs>
            </w:pPr>
            <w:r>
              <w:t>NS &amp;SLT</w:t>
            </w:r>
          </w:p>
        </w:tc>
        <w:tc>
          <w:tcPr>
            <w:tcW w:w="2565" w:type="dxa"/>
            <w:shd w:val="clear" w:color="auto" w:fill="auto"/>
          </w:tcPr>
          <w:p w:rsidR="00597B65" w:rsidRDefault="00597B65" w:rsidP="00C84A53">
            <w:pPr>
              <w:tabs>
                <w:tab w:val="left" w:pos="1680"/>
              </w:tabs>
            </w:pPr>
            <w:r>
              <w:t>NS</w:t>
            </w:r>
          </w:p>
        </w:tc>
        <w:tc>
          <w:tcPr>
            <w:tcW w:w="2565" w:type="dxa"/>
            <w:shd w:val="clear" w:color="auto" w:fill="auto"/>
          </w:tcPr>
          <w:p w:rsidR="00597B65" w:rsidRDefault="00597B65" w:rsidP="00C84A53">
            <w:pPr>
              <w:tabs>
                <w:tab w:val="left" w:pos="1680"/>
              </w:tabs>
            </w:pPr>
            <w:r>
              <w:t xml:space="preserve">Dependant on competitions.  </w:t>
            </w:r>
          </w:p>
        </w:tc>
      </w:tr>
      <w:tr w:rsidR="00597B65" w:rsidTr="00C84A53">
        <w:tc>
          <w:tcPr>
            <w:tcW w:w="2830" w:type="dxa"/>
            <w:shd w:val="clear" w:color="auto" w:fill="auto"/>
          </w:tcPr>
          <w:p w:rsidR="00597B65" w:rsidRDefault="00597B65" w:rsidP="00C84A53">
            <w:pPr>
              <w:tabs>
                <w:tab w:val="left" w:pos="1680"/>
              </w:tabs>
            </w:pPr>
            <w:r>
              <w:t xml:space="preserve">OAA Outdoor pursuits Leicester </w:t>
            </w:r>
          </w:p>
        </w:tc>
        <w:tc>
          <w:tcPr>
            <w:tcW w:w="2299" w:type="dxa"/>
            <w:shd w:val="clear" w:color="auto" w:fill="auto"/>
          </w:tcPr>
          <w:p w:rsidR="00597B65" w:rsidRDefault="00597B65" w:rsidP="00C84A53">
            <w:pPr>
              <w:tabs>
                <w:tab w:val="left" w:pos="1680"/>
              </w:tabs>
              <w:rPr>
                <w:bCs/>
              </w:rPr>
            </w:pPr>
            <w:r>
              <w:rPr>
                <w:bCs/>
              </w:rPr>
              <w:t>For Year 3 -6 to attend to meet national curriculum.</w:t>
            </w:r>
          </w:p>
        </w:tc>
        <w:tc>
          <w:tcPr>
            <w:tcW w:w="2565" w:type="dxa"/>
            <w:shd w:val="clear" w:color="auto" w:fill="auto"/>
          </w:tcPr>
          <w:p w:rsidR="00597B65" w:rsidRDefault="00597B65" w:rsidP="00C84A53">
            <w:pPr>
              <w:tabs>
                <w:tab w:val="left" w:pos="1680"/>
              </w:tabs>
            </w:pPr>
            <w:r>
              <w:t xml:space="preserve">End of year </w:t>
            </w:r>
          </w:p>
        </w:tc>
        <w:tc>
          <w:tcPr>
            <w:tcW w:w="2565" w:type="dxa"/>
            <w:shd w:val="clear" w:color="auto" w:fill="auto"/>
          </w:tcPr>
          <w:p w:rsidR="00597B65" w:rsidRDefault="00597B65" w:rsidP="00C84A53">
            <w:pPr>
              <w:tabs>
                <w:tab w:val="left" w:pos="1680"/>
              </w:tabs>
            </w:pPr>
            <w:r>
              <w:t xml:space="preserve">NS &amp; KH </w:t>
            </w:r>
          </w:p>
        </w:tc>
        <w:tc>
          <w:tcPr>
            <w:tcW w:w="2565" w:type="dxa"/>
            <w:shd w:val="clear" w:color="auto" w:fill="auto"/>
          </w:tcPr>
          <w:p w:rsidR="00597B65" w:rsidRDefault="00597B65" w:rsidP="00C84A53">
            <w:pPr>
              <w:tabs>
                <w:tab w:val="left" w:pos="1680"/>
              </w:tabs>
            </w:pPr>
            <w:r>
              <w:t xml:space="preserve">NS </w:t>
            </w:r>
          </w:p>
        </w:tc>
        <w:tc>
          <w:tcPr>
            <w:tcW w:w="2565" w:type="dxa"/>
            <w:shd w:val="clear" w:color="auto" w:fill="auto"/>
          </w:tcPr>
          <w:p w:rsidR="00597B65" w:rsidRDefault="00597B65" w:rsidP="00C84A53">
            <w:pPr>
              <w:tabs>
                <w:tab w:val="left" w:pos="1680"/>
              </w:tabs>
            </w:pPr>
            <w:r>
              <w:t>£3500</w:t>
            </w:r>
          </w:p>
        </w:tc>
      </w:tr>
    </w:tbl>
    <w:p w:rsidR="00324733" w:rsidRDefault="00324733"/>
    <w:sectPr w:rsidR="00324733" w:rsidSect="00597B6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B65"/>
    <w:rsid w:val="00324733"/>
    <w:rsid w:val="00597B65"/>
    <w:rsid w:val="00C04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6F2E8F-3CFE-4C9D-BEF4-D89450FC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B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7B6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Catherine Hayles</cp:lastModifiedBy>
  <cp:revision>2</cp:revision>
  <dcterms:created xsi:type="dcterms:W3CDTF">2020-11-30T09:47:00Z</dcterms:created>
  <dcterms:modified xsi:type="dcterms:W3CDTF">2020-11-30T09:47:00Z</dcterms:modified>
</cp:coreProperties>
</file>